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326C7">
      <w:pPr>
        <w:spacing w:line="560" w:lineRule="exact"/>
        <w:ind w:firstLine="200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28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28"/>
        </w:rPr>
        <w:t>附件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28"/>
          <w:lang w:val="en-US" w:eastAsia="zh-CN"/>
        </w:rPr>
        <w:t>1</w:t>
      </w:r>
    </w:p>
    <w:p w14:paraId="753DE5E8">
      <w:pPr>
        <w:keepNext w:val="0"/>
        <w:keepLines w:val="0"/>
        <w:pageBreakBefore w:val="0"/>
        <w:widowControl/>
        <w:tabs>
          <w:tab w:val="left" w:pos="360"/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jc w:val="center"/>
        <w:textAlignment w:val="auto"/>
        <w:rPr>
          <w:rFonts w:hint="default" w:ascii="Times New Roman" w:hAnsi="Times New Roman" w:eastAsia="方正小标宋_GBK" w:cs="Times New Roman"/>
          <w:spacing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spacing w:val="0"/>
          <w:sz w:val="44"/>
          <w:szCs w:val="44"/>
          <w:lang w:val="en-US" w:eastAsia="zh-CN"/>
        </w:rPr>
        <w:t>参会回执</w:t>
      </w:r>
    </w:p>
    <w:p w14:paraId="6009C2DE">
      <w:pPr>
        <w:widowControl/>
        <w:tabs>
          <w:tab w:val="left" w:pos="360"/>
          <w:tab w:val="left" w:pos="540"/>
        </w:tabs>
        <w:spacing w:line="500" w:lineRule="exact"/>
        <w:jc w:val="center"/>
        <w:rPr>
          <w:rFonts w:hint="default" w:ascii="Times New Roman" w:hAnsi="Times New Roman" w:eastAsia="楷体" w:cs="Times New Roman"/>
          <w:sz w:val="32"/>
          <w:szCs w:val="28"/>
        </w:rPr>
      </w:pPr>
      <w:r>
        <w:rPr>
          <w:rFonts w:hint="default" w:ascii="Times New Roman" w:hAnsi="Times New Roman" w:eastAsia="楷体" w:cs="Times New Roman"/>
          <w:sz w:val="32"/>
          <w:szCs w:val="28"/>
        </w:rPr>
        <w:t>（以下两种方式任选一种即可）</w:t>
      </w:r>
    </w:p>
    <w:p w14:paraId="7253AA42">
      <w:pPr>
        <w:widowControl/>
        <w:tabs>
          <w:tab w:val="left" w:pos="360"/>
          <w:tab w:val="left" w:pos="540"/>
        </w:tabs>
        <w:spacing w:line="500" w:lineRule="exact"/>
        <w:jc w:val="center"/>
        <w:rPr>
          <w:rFonts w:hint="default" w:ascii="Times New Roman" w:hAnsi="Times New Roman" w:eastAsia="楷体" w:cs="Times New Roman"/>
          <w:color w:val="FF0000"/>
          <w:sz w:val="32"/>
          <w:szCs w:val="28"/>
        </w:rPr>
      </w:pPr>
    </w:p>
    <w:p w14:paraId="3C20131D">
      <w:pPr>
        <w:widowControl/>
        <w:tabs>
          <w:tab w:val="left" w:pos="360"/>
          <w:tab w:val="left" w:pos="540"/>
        </w:tabs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28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28"/>
        </w:rPr>
        <w:t>一、扫描以下二维码填写</w:t>
      </w:r>
      <w:bookmarkStart w:id="0" w:name="_GoBack"/>
      <w:bookmarkEnd w:id="0"/>
    </w:p>
    <w:p w14:paraId="32EF7AFA">
      <w:pPr>
        <w:widowControl/>
        <w:tabs>
          <w:tab w:val="left" w:pos="360"/>
          <w:tab w:val="left" w:pos="540"/>
        </w:tabs>
        <w:spacing w:line="240" w:lineRule="auto"/>
        <w:jc w:val="center"/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drawing>
          <wp:inline distT="0" distB="0" distL="114300" distR="114300">
            <wp:extent cx="5224780" cy="5956300"/>
            <wp:effectExtent l="0" t="0" r="13970" b="6350"/>
            <wp:docPr id="1" name="图片 1" descr="03aecc83ace4eaf8f6861e2e58d97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3aecc83ace4eaf8f6861e2e58d9750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478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D5427">
      <w:pPr>
        <w:rPr>
          <w:rFonts w:hint="default" w:ascii="Times New Roman" w:hAnsi="Times New Roman" w:cs="Times New Roman" w:eastAsiaTheme="minorEastAsia"/>
          <w:lang w:eastAsia="zh-CN"/>
        </w:rPr>
      </w:pPr>
      <w:r>
        <w:rPr>
          <w:rFonts w:hint="default" w:ascii="Times New Roman" w:hAnsi="Times New Roman" w:cs="Times New Roman" w:eastAsiaTheme="minorEastAsia"/>
          <w:lang w:eastAsia="zh-CN"/>
        </w:rPr>
        <w:br w:type="page"/>
      </w:r>
    </w:p>
    <w:p w14:paraId="15A15D56">
      <w:pPr>
        <w:widowControl/>
        <w:tabs>
          <w:tab w:val="left" w:pos="360"/>
          <w:tab w:val="left" w:pos="540"/>
        </w:tabs>
        <w:spacing w:line="240" w:lineRule="auto"/>
        <w:jc w:val="center"/>
        <w:rPr>
          <w:rFonts w:hint="default" w:ascii="Times New Roman" w:hAnsi="Times New Roman" w:cs="Times New Roman" w:eastAsiaTheme="minorEastAsia"/>
          <w:lang w:eastAsia="zh-CN"/>
        </w:rPr>
      </w:pPr>
    </w:p>
    <w:p w14:paraId="04CDF5F7">
      <w:pPr>
        <w:widowControl/>
        <w:tabs>
          <w:tab w:val="left" w:pos="360"/>
          <w:tab w:val="left" w:pos="540"/>
        </w:tabs>
        <w:spacing w:line="50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szCs w:val="28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28"/>
        </w:rPr>
        <w:t>二、填写以下回执发送至会务组邮箱：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28"/>
        </w:rPr>
        <w:fldChar w:fldCharType="begin"/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28"/>
        </w:rPr>
        <w:instrText xml:space="preserve"> HYPERLINK "mailto:yxxkz@cpu.edu.cn" </w:instrTex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28"/>
        </w:rPr>
        <w:fldChar w:fldCharType="separate"/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28"/>
        </w:rPr>
        <w:t>yxxkz@cpu.edu.cn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28"/>
        </w:rPr>
        <w:fldChar w:fldCharType="end"/>
      </w:r>
    </w:p>
    <w:tbl>
      <w:tblPr>
        <w:tblStyle w:val="3"/>
        <w:tblW w:w="895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417"/>
        <w:gridCol w:w="1418"/>
        <w:gridCol w:w="1559"/>
        <w:gridCol w:w="237"/>
        <w:gridCol w:w="1794"/>
        <w:gridCol w:w="1391"/>
      </w:tblGrid>
      <w:tr w14:paraId="43614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62009728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6399" w:type="dxa"/>
            <w:gridSpan w:val="5"/>
            <w:shd w:val="clear" w:color="auto" w:fill="auto"/>
            <w:vAlign w:val="center"/>
          </w:tcPr>
          <w:p w14:paraId="51B95734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17817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3A9DE36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实验中心名称</w:t>
            </w:r>
          </w:p>
        </w:tc>
        <w:tc>
          <w:tcPr>
            <w:tcW w:w="6399" w:type="dxa"/>
            <w:gridSpan w:val="5"/>
            <w:shd w:val="clear" w:color="auto" w:fill="auto"/>
            <w:vAlign w:val="center"/>
          </w:tcPr>
          <w:p w14:paraId="5A4570EB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65157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01942759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/>
              </w:rPr>
              <w:t>拟预定酒店名称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52ED80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08D8D91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房间数量</w:t>
            </w:r>
          </w:p>
        </w:tc>
        <w:tc>
          <w:tcPr>
            <w:tcW w:w="3422" w:type="dxa"/>
            <w:gridSpan w:val="3"/>
            <w:shd w:val="clear" w:color="auto" w:fill="auto"/>
            <w:vAlign w:val="center"/>
          </w:tcPr>
          <w:p w14:paraId="5EACF31B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（）间单间（）间标间</w:t>
            </w:r>
          </w:p>
        </w:tc>
      </w:tr>
      <w:tr w14:paraId="1258B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951" w:type="dxa"/>
            <w:gridSpan w:val="7"/>
            <w:shd w:val="clear" w:color="auto" w:fill="auto"/>
            <w:vAlign w:val="center"/>
          </w:tcPr>
          <w:p w14:paraId="33F25391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带队老师（行数不够请自行添加）</w:t>
            </w:r>
          </w:p>
        </w:tc>
      </w:tr>
      <w:tr w14:paraId="25DA3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135" w:type="dxa"/>
            <w:shd w:val="clear" w:color="auto" w:fill="auto"/>
            <w:vAlign w:val="center"/>
          </w:tcPr>
          <w:p w14:paraId="512F2F66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0605F1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AE237C8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3ED3266A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职务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0DA65908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25F5B2F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邮箱</w:t>
            </w:r>
          </w:p>
        </w:tc>
      </w:tr>
      <w:tr w14:paraId="230E5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shd w:val="clear" w:color="auto" w:fill="auto"/>
            <w:vAlign w:val="center"/>
          </w:tcPr>
          <w:p w14:paraId="1CB77F32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76D4E03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FDB7D11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57748EE3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57921ACB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6CD70A1B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0145B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shd w:val="clear" w:color="auto" w:fill="auto"/>
            <w:vAlign w:val="center"/>
          </w:tcPr>
          <w:p w14:paraId="509F689A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A49EBB0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8D0B2F5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1F699102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2E5FEA31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5725BF78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4D45D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shd w:val="clear" w:color="auto" w:fill="auto"/>
            <w:vAlign w:val="center"/>
          </w:tcPr>
          <w:p w14:paraId="14F6DFD1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DA28C7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5E05BB1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2B6DDD4C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06DC38CC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391" w:type="dxa"/>
            <w:shd w:val="clear" w:color="auto" w:fill="auto"/>
            <w:vAlign w:val="center"/>
          </w:tcPr>
          <w:p w14:paraId="03CFC48A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02DE8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8951" w:type="dxa"/>
            <w:gridSpan w:val="7"/>
            <w:shd w:val="clear" w:color="auto" w:fill="auto"/>
            <w:vAlign w:val="center"/>
          </w:tcPr>
          <w:p w14:paraId="252A1D47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参赛（观摩）学生（行数不够请自行添加）</w:t>
            </w:r>
          </w:p>
        </w:tc>
      </w:tr>
      <w:tr w14:paraId="3D0DC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shd w:val="clear" w:color="auto" w:fill="auto"/>
            <w:vAlign w:val="center"/>
          </w:tcPr>
          <w:p w14:paraId="467EC573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29A520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7A60572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0219C3DB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185" w:type="dxa"/>
            <w:gridSpan w:val="2"/>
            <w:shd w:val="clear" w:color="auto" w:fill="auto"/>
            <w:vAlign w:val="center"/>
          </w:tcPr>
          <w:p w14:paraId="559818FF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备注参赛/观摩</w:t>
            </w:r>
          </w:p>
        </w:tc>
      </w:tr>
      <w:tr w14:paraId="53BD0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shd w:val="clear" w:color="auto" w:fill="auto"/>
            <w:vAlign w:val="center"/>
          </w:tcPr>
          <w:p w14:paraId="7761FCBB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4583AE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2BBB7D">
            <w:pPr>
              <w:widowControl/>
              <w:snapToGrid w:val="0"/>
              <w:spacing w:line="500" w:lineRule="exact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427EF742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3185" w:type="dxa"/>
            <w:gridSpan w:val="2"/>
            <w:shd w:val="clear" w:color="auto" w:fill="auto"/>
            <w:vAlign w:val="center"/>
          </w:tcPr>
          <w:p w14:paraId="36CD5CE9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15E2C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shd w:val="clear" w:color="auto" w:fill="auto"/>
            <w:vAlign w:val="center"/>
          </w:tcPr>
          <w:p w14:paraId="2FA2C5F9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A463F81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A1B1040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0FB030A5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3185" w:type="dxa"/>
            <w:gridSpan w:val="2"/>
            <w:shd w:val="clear" w:color="auto" w:fill="auto"/>
            <w:vAlign w:val="center"/>
          </w:tcPr>
          <w:p w14:paraId="04A64BC1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2B6B8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shd w:val="clear" w:color="auto" w:fill="auto"/>
            <w:vAlign w:val="center"/>
          </w:tcPr>
          <w:p w14:paraId="471E8DFA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E014088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8D6CC8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6D7852E7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3185" w:type="dxa"/>
            <w:gridSpan w:val="2"/>
            <w:shd w:val="clear" w:color="auto" w:fill="auto"/>
            <w:vAlign w:val="center"/>
          </w:tcPr>
          <w:p w14:paraId="56A572DA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34E45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shd w:val="clear" w:color="auto" w:fill="auto"/>
            <w:vAlign w:val="center"/>
          </w:tcPr>
          <w:p w14:paraId="14890D9A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拟报到</w:t>
            </w:r>
          </w:p>
          <w:p w14:paraId="654A5043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时间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0522A7F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8D466ED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35A63722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拟离会日期</w:t>
            </w:r>
          </w:p>
        </w:tc>
        <w:tc>
          <w:tcPr>
            <w:tcW w:w="3185" w:type="dxa"/>
            <w:gridSpan w:val="2"/>
            <w:shd w:val="clear" w:color="auto" w:fill="auto"/>
            <w:vAlign w:val="center"/>
          </w:tcPr>
          <w:p w14:paraId="095AFD76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0EFE4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35" w:type="dxa"/>
            <w:shd w:val="clear" w:color="auto" w:fill="auto"/>
            <w:vAlign w:val="center"/>
          </w:tcPr>
          <w:p w14:paraId="3E455A4D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5813C42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C92582D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手机</w:t>
            </w:r>
          </w:p>
        </w:tc>
        <w:tc>
          <w:tcPr>
            <w:tcW w:w="1796" w:type="dxa"/>
            <w:gridSpan w:val="2"/>
            <w:shd w:val="clear" w:color="auto" w:fill="auto"/>
            <w:vAlign w:val="center"/>
          </w:tcPr>
          <w:p w14:paraId="699180C1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shd w:val="clear" w:color="auto" w:fill="auto"/>
            <w:vAlign w:val="center"/>
          </w:tcPr>
          <w:p w14:paraId="7F529EAD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kern w:val="0"/>
                <w:sz w:val="28"/>
                <w:szCs w:val="28"/>
              </w:rPr>
              <w:t>邮箱</w:t>
            </w:r>
          </w:p>
        </w:tc>
        <w:tc>
          <w:tcPr>
            <w:tcW w:w="1391" w:type="dxa"/>
            <w:shd w:val="clear" w:color="auto" w:fill="auto"/>
            <w:vAlign w:val="center"/>
          </w:tcPr>
          <w:p w14:paraId="48C1F583">
            <w:pPr>
              <w:widowControl/>
              <w:snapToGrid w:val="0"/>
              <w:spacing w:line="500" w:lineRule="exact"/>
              <w:jc w:val="center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496C5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970" w:type="dxa"/>
            <w:gridSpan w:val="3"/>
            <w:shd w:val="clear" w:color="auto" w:fill="auto"/>
            <w:vAlign w:val="center"/>
          </w:tcPr>
          <w:p w14:paraId="079E9E7B">
            <w:pPr>
              <w:widowControl/>
              <w:snapToGrid w:val="0"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发票抬头（开发票必填项）</w:t>
            </w:r>
          </w:p>
        </w:tc>
        <w:tc>
          <w:tcPr>
            <w:tcW w:w="4981" w:type="dxa"/>
            <w:gridSpan w:val="4"/>
            <w:shd w:val="clear" w:color="auto" w:fill="auto"/>
            <w:vAlign w:val="center"/>
          </w:tcPr>
          <w:p w14:paraId="72B6E071">
            <w:pPr>
              <w:widowControl/>
              <w:snapToGrid w:val="0"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  <w:tr w14:paraId="071B2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3970" w:type="dxa"/>
            <w:gridSpan w:val="3"/>
            <w:shd w:val="clear" w:color="auto" w:fill="auto"/>
            <w:vAlign w:val="center"/>
          </w:tcPr>
          <w:p w14:paraId="73BBD5E7">
            <w:pPr>
              <w:widowControl/>
              <w:snapToGrid w:val="0"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  <w:t>社会信用代码（开发票必填项）</w:t>
            </w:r>
          </w:p>
        </w:tc>
        <w:tc>
          <w:tcPr>
            <w:tcW w:w="4981" w:type="dxa"/>
            <w:gridSpan w:val="4"/>
            <w:shd w:val="clear" w:color="auto" w:fill="auto"/>
            <w:vAlign w:val="center"/>
          </w:tcPr>
          <w:p w14:paraId="43752619">
            <w:pPr>
              <w:widowControl/>
              <w:snapToGrid w:val="0"/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kern w:val="0"/>
                <w:sz w:val="28"/>
                <w:szCs w:val="28"/>
              </w:rPr>
            </w:pPr>
          </w:p>
        </w:tc>
      </w:tr>
    </w:tbl>
    <w:p w14:paraId="122DF218">
      <w:pPr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楷体" w:cs="Times New Roman"/>
          <w:sz w:val="24"/>
          <w:szCs w:val="24"/>
        </w:rPr>
        <w:br w:type="page"/>
      </w:r>
    </w:p>
    <w:p w14:paraId="14321A6A">
      <w:pPr>
        <w:spacing w:line="560" w:lineRule="exact"/>
        <w:ind w:firstLine="200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28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28"/>
        </w:rPr>
        <w:t>附件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28"/>
          <w:lang w:val="en-US" w:eastAsia="zh-CN"/>
        </w:rPr>
        <w:t>2</w:t>
      </w:r>
    </w:p>
    <w:p w14:paraId="23788509">
      <w:pPr>
        <w:widowControl/>
        <w:numPr>
          <w:ilvl w:val="0"/>
          <w:numId w:val="0"/>
        </w:numPr>
        <w:tabs>
          <w:tab w:val="left" w:pos="360"/>
          <w:tab w:val="left" w:pos="540"/>
        </w:tabs>
        <w:spacing w:line="560" w:lineRule="exact"/>
        <w:jc w:val="center"/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0"/>
          <w:lang w:val="en-US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0"/>
          <w:lang w:val="en-US" w:eastAsia="zh-CN"/>
        </w:rPr>
        <w:t>报到、活动地点及</w:t>
      </w:r>
      <w:r>
        <w:rPr>
          <w:rFonts w:hint="default" w:ascii="Times New Roman" w:hAnsi="Times New Roman" w:eastAsia="方正小标宋_GBK" w:cs="Times New Roman"/>
          <w:b w:val="0"/>
          <w:bCs w:val="0"/>
          <w:color w:val="000000"/>
          <w:sz w:val="44"/>
          <w:szCs w:val="40"/>
          <w:lang w:val="en-US" w:eastAsia="zh-CN"/>
        </w:rPr>
        <w:t>交通</w:t>
      </w:r>
      <w:r>
        <w:rPr>
          <w:rFonts w:hint="eastAsia" w:ascii="Times New Roman" w:hAnsi="Times New Roman" w:eastAsia="方正小标宋_GBK" w:cs="Times New Roman"/>
          <w:b w:val="0"/>
          <w:bCs w:val="0"/>
          <w:color w:val="000000"/>
          <w:sz w:val="44"/>
          <w:szCs w:val="40"/>
          <w:lang w:val="en-US" w:eastAsia="zh-CN"/>
        </w:rPr>
        <w:t>指引</w:t>
      </w:r>
    </w:p>
    <w:p w14:paraId="47D149C5">
      <w:pPr>
        <w:keepNext w:val="0"/>
        <w:keepLines w:val="0"/>
        <w:pageBreakBefore w:val="0"/>
        <w:widowControl/>
        <w:tabs>
          <w:tab w:val="left" w:pos="360"/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highlight w:val="none"/>
          <w:lang w:val="en-US" w:eastAsia="zh-CN"/>
        </w:rPr>
      </w:pPr>
    </w:p>
    <w:p w14:paraId="7D1BE384">
      <w:pPr>
        <w:widowControl/>
        <w:tabs>
          <w:tab w:val="left" w:pos="360"/>
          <w:tab w:val="left" w:pos="540"/>
        </w:tabs>
        <w:spacing w:line="560" w:lineRule="exact"/>
        <w:ind w:firstLine="640" w:firstLineChars="200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0"/>
        </w:rPr>
      </w:pPr>
      <w:r>
        <w:rPr>
          <w:rFonts w:hint="eastAsia" w:ascii="Times New Roman" w:hAnsi="Times New Roman" w:eastAsia="方正黑体_GBK" w:cs="Times New Roman"/>
          <w:b w:val="0"/>
          <w:bCs w:val="0"/>
          <w:color w:val="000000"/>
          <w:sz w:val="32"/>
          <w:szCs w:val="30"/>
          <w:lang w:val="en-US" w:eastAsia="zh-CN"/>
        </w:rPr>
        <w:t>一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  <w:szCs w:val="30"/>
        </w:rPr>
        <w:t>、报到地点和活动地点</w:t>
      </w:r>
    </w:p>
    <w:p w14:paraId="2D3F34CA">
      <w:pPr>
        <w:keepNext w:val="0"/>
        <w:keepLines w:val="0"/>
        <w:pageBreakBefore w:val="0"/>
        <w:widowControl/>
        <w:tabs>
          <w:tab w:val="left" w:pos="360"/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  <w:t>报到地点为各参赛队伍入住酒店。报到酒店由会务组统一预订安排，若入住酒店过于集中导致房间不够，会务组将进行调整。为便于会务安排，请各校尽快填写会议回执，并选择入住酒店（如需拼房，请在回执中注明）。</w:t>
      </w:r>
    </w:p>
    <w:p w14:paraId="53C91645">
      <w:pPr>
        <w:keepNext w:val="0"/>
        <w:keepLines w:val="0"/>
        <w:pageBreakBefore w:val="0"/>
        <w:widowControl/>
        <w:tabs>
          <w:tab w:val="left" w:pos="360"/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  <w:t>活动地点：中国药科大学江宁校区，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highlight w:val="none"/>
        </w:rPr>
        <w:t>地址：</w:t>
      </w:r>
      <w:r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  <w:t>南京市江宁区龙眠大道639号</w:t>
      </w:r>
      <w:r>
        <w:rPr>
          <w:rFonts w:hint="eastAsia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  <w:t>。</w:t>
      </w:r>
    </w:p>
    <w:p w14:paraId="3C7981B6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360"/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表1：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/>
          <w:sz w:val="32"/>
          <w:szCs w:val="32"/>
          <w:highlight w:val="none"/>
        </w:rPr>
        <w:t>住宿酒店地址及联系电话</w:t>
      </w:r>
    </w:p>
    <w:tbl>
      <w:tblPr>
        <w:tblStyle w:val="3"/>
        <w:tblW w:w="99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59"/>
        <w:gridCol w:w="3705"/>
        <w:gridCol w:w="1612"/>
        <w:gridCol w:w="1018"/>
        <w:gridCol w:w="843"/>
      </w:tblGrid>
      <w:tr w14:paraId="552F2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  <w:jc w:val="center"/>
        </w:trPr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97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酒店名称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A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地址及联系方式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4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价格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62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标间</w:t>
            </w:r>
          </w:p>
          <w:p w14:paraId="29BD7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21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大床</w:t>
            </w:r>
          </w:p>
          <w:p w14:paraId="44E8A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4DD4F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7" w:hRule="atLeast"/>
          <w:jc w:val="center"/>
        </w:trPr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FC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南京鲁能美高梅美荟</w:t>
            </w:r>
          </w:p>
          <w:p w14:paraId="4A167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AC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南京市江宁区格致西路99号，</w:t>
            </w:r>
          </w:p>
          <w:p w14:paraId="2C3B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电话：025-51186999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27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380元</w:t>
            </w:r>
          </w:p>
          <w:p w14:paraId="36CD3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（单早）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64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F5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 w14:paraId="14D4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2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C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南京海院世纪缘国际</w:t>
            </w:r>
          </w:p>
          <w:p w14:paraId="17F7A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邮轮酒店</w:t>
            </w:r>
          </w:p>
        </w:tc>
        <w:tc>
          <w:tcPr>
            <w:tcW w:w="3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B9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南京市江宁区大学城格致路309号，电话：025-52691818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73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339元</w:t>
            </w:r>
          </w:p>
          <w:p w14:paraId="106B0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（含早）</w:t>
            </w:r>
          </w:p>
        </w:tc>
        <w:tc>
          <w:tcPr>
            <w:tcW w:w="10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37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A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</w:tr>
      <w:tr w14:paraId="5EEBA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7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64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南京荟枫酒店</w:t>
            </w:r>
          </w:p>
        </w:tc>
        <w:tc>
          <w:tcPr>
            <w:tcW w:w="3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1A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南京市江宁区天元东路288号景枫大厦2号楼，</w:t>
            </w:r>
          </w:p>
          <w:p w14:paraId="3D53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电话：025-52160288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A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238元大床</w:t>
            </w:r>
          </w:p>
          <w:p w14:paraId="3A94D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（单早）</w:t>
            </w:r>
          </w:p>
        </w:tc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34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56 </w:t>
            </w:r>
          </w:p>
        </w:tc>
        <w:tc>
          <w:tcPr>
            <w:tcW w:w="84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BC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</w:tr>
      <w:tr w14:paraId="7717C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27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8F653">
            <w:pPr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31437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15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288元标间</w:t>
            </w:r>
          </w:p>
          <w:p w14:paraId="55BD1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（双早）</w:t>
            </w:r>
          </w:p>
        </w:tc>
        <w:tc>
          <w:tcPr>
            <w:tcW w:w="10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B20E1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0E968">
            <w:pPr>
              <w:jc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CB5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275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FD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南京K Hotel</w:t>
            </w:r>
          </w:p>
        </w:tc>
        <w:tc>
          <w:tcPr>
            <w:tcW w:w="370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E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南京市江宁区天元东路288号，</w:t>
            </w:r>
          </w:p>
          <w:p w14:paraId="7E635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电话：025-52165688</w:t>
            </w: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B1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238元大床</w:t>
            </w:r>
          </w:p>
          <w:p w14:paraId="3AD37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（单早）</w:t>
            </w:r>
          </w:p>
        </w:tc>
        <w:tc>
          <w:tcPr>
            <w:tcW w:w="101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94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84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FB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</w:tr>
      <w:tr w14:paraId="5D725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  <w:jc w:val="center"/>
        </w:trPr>
        <w:tc>
          <w:tcPr>
            <w:tcW w:w="275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7E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70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E9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02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288元标间</w:t>
            </w:r>
          </w:p>
          <w:p w14:paraId="6EF95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（双早）</w:t>
            </w:r>
          </w:p>
        </w:tc>
        <w:tc>
          <w:tcPr>
            <w:tcW w:w="10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30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84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1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1423F8BE">
      <w:pPr>
        <w:widowControl/>
        <w:tabs>
          <w:tab w:val="left" w:pos="360"/>
          <w:tab w:val="left" w:pos="540"/>
        </w:tabs>
        <w:spacing w:line="560" w:lineRule="exact"/>
        <w:ind w:firstLine="640" w:firstLineChars="200"/>
        <w:rPr>
          <w:rFonts w:hint="default" w:ascii="Times New Roman" w:hAnsi="Times New Roman" w:eastAsia="仿宋" w:cs="Times New Roman"/>
          <w:color w:val="000000"/>
          <w:sz w:val="32"/>
          <w:szCs w:val="32"/>
          <w:highlight w:val="none"/>
          <w:lang w:val="en-US" w:eastAsia="zh-CN"/>
        </w:rPr>
      </w:pPr>
    </w:p>
    <w:p w14:paraId="17AE87D2">
      <w:pPr>
        <w:keepNext w:val="0"/>
        <w:keepLines w:val="0"/>
        <w:pageBreakBefore w:val="0"/>
        <w:widowControl/>
        <w:tabs>
          <w:tab w:val="left" w:pos="360"/>
          <w:tab w:val="left" w:pos="5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黑体_GBK" w:cs="Times New Roman"/>
          <w:color w:val="000000"/>
          <w:sz w:val="32"/>
          <w:szCs w:val="32"/>
          <w:highlight w:val="none"/>
          <w:lang w:val="en-US" w:eastAsia="zh-CN"/>
        </w:rPr>
        <w:t>二、交通指引</w:t>
      </w:r>
    </w:p>
    <w:p w14:paraId="1A933559">
      <w:pPr>
        <w:widowControl/>
        <w:tabs>
          <w:tab w:val="left" w:pos="360"/>
          <w:tab w:val="left" w:pos="540"/>
        </w:tabs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南京站-</w:t>
      </w:r>
      <w:r>
        <w:rPr>
          <w:rFonts w:hint="default" w:ascii="Times New Roman" w:hAnsi="Times New Roman" w:eastAsia="方正仿宋_GBK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南京鲁能美高梅美荟酒店</w:t>
      </w: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eastAsia="zh-CN"/>
        </w:rPr>
        <w:t>：</w:t>
      </w:r>
    </w:p>
    <w:p w14:paraId="39B3AC28">
      <w:pPr>
        <w:widowControl/>
        <w:tabs>
          <w:tab w:val="left" w:pos="360"/>
          <w:tab w:val="left" w:pos="540"/>
        </w:tabs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可乘坐地铁1号线（中国药科大学方向）至南京交院（1号口出）。</w:t>
      </w:r>
    </w:p>
    <w:p w14:paraId="1C85FD06">
      <w:pPr>
        <w:widowControl/>
        <w:tabs>
          <w:tab w:val="left" w:pos="360"/>
          <w:tab w:val="left" w:pos="540"/>
        </w:tabs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南京站-</w:t>
      </w: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</w:rPr>
        <w:t>南京海院世纪缘国际邮轮酒店</w:t>
      </w: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eastAsia="zh-CN"/>
        </w:rPr>
        <w:t>：</w:t>
      </w:r>
    </w:p>
    <w:p w14:paraId="5148B604">
      <w:pPr>
        <w:widowControl/>
        <w:tabs>
          <w:tab w:val="left" w:pos="360"/>
          <w:tab w:val="left" w:pos="540"/>
        </w:tabs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可乘坐地铁1号线（中国药科大学方向）至南京交院站（1号口出）。</w:t>
      </w:r>
    </w:p>
    <w:p w14:paraId="229E297F">
      <w:pPr>
        <w:widowControl/>
        <w:tabs>
          <w:tab w:val="left" w:pos="360"/>
          <w:tab w:val="left" w:pos="540"/>
        </w:tabs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南京站-</w:t>
      </w: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val="en-US" w:eastAsia="zh-CN"/>
        </w:rPr>
        <w:t>南京荟枫酒店、</w:t>
      </w: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南京K Hotel</w:t>
      </w: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eastAsia="zh-CN"/>
        </w:rPr>
        <w:t>：</w:t>
      </w:r>
    </w:p>
    <w:p w14:paraId="04889E82">
      <w:pPr>
        <w:widowControl/>
        <w:tabs>
          <w:tab w:val="left" w:pos="360"/>
          <w:tab w:val="left" w:pos="540"/>
        </w:tabs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可乘坐地铁1号线（中国药科大学方向）至天印大道站（2号口出）。</w:t>
      </w:r>
    </w:p>
    <w:p w14:paraId="2D8CC68C">
      <w:pPr>
        <w:widowControl/>
        <w:tabs>
          <w:tab w:val="left" w:pos="360"/>
          <w:tab w:val="left" w:pos="540"/>
        </w:tabs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南京南站-南京鲁能美高梅美荟酒店：</w:t>
      </w:r>
    </w:p>
    <w:p w14:paraId="5CEBCD3B">
      <w:pPr>
        <w:widowControl/>
        <w:tabs>
          <w:tab w:val="left" w:pos="360"/>
          <w:tab w:val="left" w:pos="540"/>
        </w:tabs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可乘坐地铁1号线（中国药科大学方向）至南京交院（1号口出）。</w:t>
      </w:r>
    </w:p>
    <w:p w14:paraId="717D7F9C">
      <w:pPr>
        <w:widowControl/>
        <w:tabs>
          <w:tab w:val="left" w:pos="360"/>
          <w:tab w:val="left" w:pos="540"/>
        </w:tabs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南京南站-南京海院世纪缘国际邮轮酒店：</w:t>
      </w:r>
    </w:p>
    <w:p w14:paraId="1CED69F1">
      <w:pPr>
        <w:widowControl/>
        <w:tabs>
          <w:tab w:val="left" w:pos="360"/>
          <w:tab w:val="left" w:pos="540"/>
        </w:tabs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可乘坐地铁1号线（中国药科大学方向）至南京交院站（1号口出）。</w:t>
      </w:r>
    </w:p>
    <w:p w14:paraId="5876F284">
      <w:pPr>
        <w:widowControl/>
        <w:tabs>
          <w:tab w:val="left" w:pos="360"/>
          <w:tab w:val="left" w:pos="540"/>
        </w:tabs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南京南站-南京荟枫酒店、南京K Hotel：</w:t>
      </w:r>
    </w:p>
    <w:p w14:paraId="1410EF47">
      <w:pPr>
        <w:widowControl/>
        <w:tabs>
          <w:tab w:val="left" w:pos="360"/>
          <w:tab w:val="left" w:pos="540"/>
        </w:tabs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highlight w:val="none"/>
          <w:lang w:val="en-US" w:eastAsia="zh-CN"/>
        </w:rPr>
        <w:t>可乘坐地铁1号线（中国药科大学方向）至天印大道站（2号口出）。</w:t>
      </w:r>
    </w:p>
    <w:p w14:paraId="6D85F6D2">
      <w:pPr>
        <w:widowControl/>
        <w:tabs>
          <w:tab w:val="left" w:pos="360"/>
          <w:tab w:val="left" w:pos="540"/>
        </w:tabs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南京禄口机场-</w:t>
      </w:r>
      <w:r>
        <w:rPr>
          <w:rFonts w:hint="default" w:ascii="Times New Roman" w:hAnsi="Times New Roman" w:eastAsia="方正仿宋_GBK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南京鲁能美高梅美荟酒店</w:t>
      </w: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eastAsia="zh-CN"/>
        </w:rPr>
        <w:t>：</w:t>
      </w:r>
    </w:p>
    <w:p w14:paraId="52C74440">
      <w:pPr>
        <w:widowControl/>
        <w:tabs>
          <w:tab w:val="left" w:pos="360"/>
          <w:tab w:val="left" w:pos="540"/>
        </w:tabs>
        <w:spacing w:line="560" w:lineRule="exact"/>
        <w:ind w:firstLine="640" w:firstLineChars="200"/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可在禄口机场（东南入口）乘坐地铁S1号线（机场线）（往南京南站方向）至吉印大道地铁站，站内换乘地铁5号线（方家营方向）至竹山路地铁口，换乘地铁1号线（中国药科大学方向），至南京交院（1号口出）。</w:t>
      </w:r>
    </w:p>
    <w:p w14:paraId="62E3FE35">
      <w:pPr>
        <w:widowControl/>
        <w:tabs>
          <w:tab w:val="left" w:pos="360"/>
          <w:tab w:val="left" w:pos="540"/>
        </w:tabs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南京禄口机场-南京海院世纪缘国际邮轮酒店</w:t>
      </w: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eastAsia="zh-CN"/>
        </w:rPr>
        <w:t>：</w:t>
      </w:r>
    </w:p>
    <w:p w14:paraId="67230506">
      <w:pPr>
        <w:widowControl/>
        <w:tabs>
          <w:tab w:val="left" w:pos="360"/>
          <w:tab w:val="left" w:pos="540"/>
        </w:tabs>
        <w:spacing w:line="560" w:lineRule="exact"/>
        <w:ind w:firstLine="640" w:firstLineChars="200"/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可在禄口机场（东南入口）乘坐地铁S1号线（机场线）（往南京南站方向）至吉印大道地铁站，站内换乘地铁5号线（方家营方向）至竹山路地铁口，换乘地铁1号线（中国药科大学方向），至南京交院（1号口出）。</w:t>
      </w:r>
    </w:p>
    <w:p w14:paraId="2461F61A">
      <w:pPr>
        <w:widowControl/>
        <w:tabs>
          <w:tab w:val="left" w:pos="360"/>
          <w:tab w:val="left" w:pos="540"/>
        </w:tabs>
        <w:spacing w:line="560" w:lineRule="exact"/>
        <w:ind w:firstLine="643" w:firstLineChars="200"/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highlight w:val="none"/>
          <w:lang w:val="en-US" w:eastAsia="zh-CN"/>
        </w:rPr>
        <w:t>南京禄口机场-南京荟枫酒店、南京K Hotel</w:t>
      </w:r>
      <w:r>
        <w:rPr>
          <w:rFonts w:hint="default" w:ascii="Times New Roman" w:hAnsi="Times New Roman" w:eastAsia="仿宋" w:cs="Times New Roman"/>
          <w:b/>
          <w:bCs/>
          <w:color w:val="000000"/>
          <w:sz w:val="32"/>
          <w:szCs w:val="32"/>
          <w:lang w:eastAsia="zh-CN"/>
        </w:rPr>
        <w:t>：</w:t>
      </w:r>
    </w:p>
    <w:p w14:paraId="5CDAEFB5">
      <w:pPr>
        <w:widowControl/>
        <w:tabs>
          <w:tab w:val="left" w:pos="360"/>
          <w:tab w:val="left" w:pos="540"/>
        </w:tabs>
        <w:spacing w:line="560" w:lineRule="exact"/>
        <w:ind w:firstLine="640" w:firstLineChars="200"/>
        <w:rPr>
          <w:rFonts w:hint="default" w:ascii="Times New Roman" w:hAnsi="Times New Roman" w:eastAsia="楷体" w:cs="Times New Roman"/>
          <w:sz w:val="24"/>
          <w:szCs w:val="24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000000"/>
          <w:sz w:val="32"/>
          <w:szCs w:val="32"/>
          <w:lang w:val="en-US" w:eastAsia="zh-CN"/>
        </w:rPr>
        <w:t>可在禄口机场（东南入口）乘坐地铁S1号线（机场线）（往南京南站方向）至吉印大道地铁站，站内换乘地铁5号线（方家营方向）至竹山路地铁口，换乘地铁1号线（中国药科大学方向），至天印大道（2号口出）。</w:t>
      </w:r>
    </w:p>
    <w:p w14:paraId="207A850D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DF4DCD"/>
    <w:rsid w:val="53DF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2025-09-30T06:36:00Z</dcterms:created>
  <dc:creator>admin</dc:creator>
  <cp:lastModifiedBy>admin</cp:lastModifiedBy>
  <dcterms:modified xsi:type="dcterms:W3CDTF">2025-09-30T06:37:06Z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75055993C8CF4716A7C92F65A57F907E_11</vt:lpwstr>
  </property>
  <property fmtid="{D5CDD505-2E9C-101B-9397-08002B2CF9AE}" pid="4" name="KSOTemplateDocerSaveRecord">
    <vt:lpwstr>eyJoZGlkIjoiYmMyODgwYTk2ZTZmYmNlZDY3NWEwMGJmNGZiYmZhYTEiLCJ1c2VySWQiOiIyNTE1MTU5MSJ9</vt:lpwstr>
  </property>
</Properties>
</file>